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45F60" w14:textId="72C0846B" w:rsidR="009A130D" w:rsidRPr="00E94752" w:rsidRDefault="00B73CC4" w:rsidP="009A130D">
      <w:pPr>
        <w:pStyle w:val="a"/>
        <w:rPr>
          <w:lang w:val="en-GB"/>
        </w:rPr>
      </w:pPr>
      <w:bookmarkStart w:id="0" w:name="_Hlk513625975"/>
      <w:r>
        <w:rPr>
          <w:lang w:val="en-GB"/>
        </w:rPr>
        <w:t>Chairs of the Banking &amp; Securities Working Group discuss financial services opening-up in China with the Austrian National Bank.</w:t>
      </w:r>
    </w:p>
    <w:tbl>
      <w:tblPr>
        <w:tblW w:w="0" w:type="auto"/>
        <w:tblCellMar>
          <w:left w:w="10" w:type="dxa"/>
          <w:right w:w="10" w:type="dxa"/>
        </w:tblCellMar>
        <w:tblLook w:val="0000" w:firstRow="0" w:lastRow="0" w:firstColumn="0" w:lastColumn="0" w:noHBand="0" w:noVBand="0"/>
      </w:tblPr>
      <w:tblGrid>
        <w:gridCol w:w="1615"/>
        <w:gridCol w:w="7745"/>
      </w:tblGrid>
      <w:tr w:rsidR="009A130D" w:rsidRPr="00E94752" w14:paraId="14798BCA" w14:textId="77777777" w:rsidTr="00990D65">
        <w:trPr>
          <w:trHeight w:val="300"/>
        </w:trPr>
        <w:tc>
          <w:tcPr>
            <w:tcW w:w="1700" w:type="dxa"/>
            <w:tcBorders>
              <w:top w:val="single" w:sz="10" w:space="0" w:color="000000"/>
            </w:tcBorders>
          </w:tcPr>
          <w:p w14:paraId="236B95C2" w14:textId="77777777" w:rsidR="009A130D" w:rsidRPr="00E94752" w:rsidRDefault="009A130D" w:rsidP="00990D65">
            <w:pPr>
              <w:spacing w:before="20"/>
              <w:jc w:val="left"/>
              <w:rPr>
                <w:lang w:val="en-GB"/>
              </w:rPr>
            </w:pPr>
            <w:r w:rsidRPr="00E94752">
              <w:rPr>
                <w:b/>
                <w:sz w:val="22"/>
                <w:lang w:val="en-GB"/>
              </w:rPr>
              <w:t>Date &amp; Place:</w:t>
            </w:r>
          </w:p>
        </w:tc>
        <w:tc>
          <w:tcPr>
            <w:tcW w:w="8300" w:type="dxa"/>
            <w:tcBorders>
              <w:top w:val="single" w:sz="10" w:space="0" w:color="000000"/>
            </w:tcBorders>
          </w:tcPr>
          <w:p w14:paraId="715CE992" w14:textId="4CB338E2" w:rsidR="009A130D" w:rsidRPr="00E94752" w:rsidRDefault="00B73CC4" w:rsidP="00990D65">
            <w:pPr>
              <w:spacing w:before="20"/>
              <w:jc w:val="left"/>
              <w:rPr>
                <w:lang w:val="en-GB"/>
              </w:rPr>
            </w:pPr>
            <w:r>
              <w:rPr>
                <w:i/>
                <w:iCs/>
                <w:sz w:val="22"/>
                <w:lang w:val="en-GB"/>
              </w:rPr>
              <w:t>10</w:t>
            </w:r>
            <w:r w:rsidR="004C4F84" w:rsidRPr="004C4F84">
              <w:rPr>
                <w:i/>
                <w:iCs/>
                <w:sz w:val="22"/>
                <w:vertAlign w:val="superscript"/>
                <w:lang w:val="en-GB"/>
              </w:rPr>
              <w:t>th</w:t>
            </w:r>
            <w:r w:rsidR="004C4F84">
              <w:rPr>
                <w:i/>
                <w:iCs/>
                <w:sz w:val="22"/>
                <w:lang w:val="en-GB"/>
              </w:rPr>
              <w:t xml:space="preserve"> May,</w:t>
            </w:r>
            <w:r w:rsidR="007E735E">
              <w:rPr>
                <w:i/>
                <w:iCs/>
                <w:sz w:val="22"/>
                <w:lang w:val="en-GB"/>
              </w:rPr>
              <w:t xml:space="preserve"> 2018, </w:t>
            </w:r>
            <w:r>
              <w:rPr>
                <w:i/>
                <w:iCs/>
                <w:sz w:val="22"/>
                <w:lang w:val="en-GB"/>
              </w:rPr>
              <w:t>European Chamber</w:t>
            </w:r>
          </w:p>
        </w:tc>
      </w:tr>
    </w:tbl>
    <w:p w14:paraId="15F480B4" w14:textId="77777777" w:rsidR="009A130D" w:rsidRPr="00E94752" w:rsidRDefault="009A130D" w:rsidP="009A130D">
      <w:pPr>
        <w:spacing w:before="20"/>
        <w:jc w:val="left"/>
        <w:rPr>
          <w:lang w:val="en-GB"/>
        </w:rPr>
      </w:pPr>
      <w:r w:rsidRPr="00E94752">
        <w:rPr>
          <w:b/>
          <w:sz w:val="22"/>
          <w:lang w:val="en-GB"/>
        </w:rPr>
        <w:t>Attendees:</w:t>
      </w:r>
    </w:p>
    <w:tbl>
      <w:tblPr>
        <w:tblW w:w="0" w:type="auto"/>
        <w:tblCellMar>
          <w:left w:w="10" w:type="dxa"/>
          <w:right w:w="10" w:type="dxa"/>
        </w:tblCellMar>
        <w:tblLook w:val="0000" w:firstRow="0" w:lastRow="0" w:firstColumn="0" w:lastColumn="0" w:noHBand="0" w:noVBand="0"/>
      </w:tblPr>
      <w:tblGrid>
        <w:gridCol w:w="4690"/>
        <w:gridCol w:w="4670"/>
      </w:tblGrid>
      <w:tr w:rsidR="004C4F84" w:rsidRPr="00E94752" w14:paraId="61186AD2" w14:textId="77777777" w:rsidTr="00990D65">
        <w:trPr>
          <w:trHeight w:val="300"/>
        </w:trPr>
        <w:tc>
          <w:tcPr>
            <w:tcW w:w="5000" w:type="dxa"/>
          </w:tcPr>
          <w:p w14:paraId="5FFA3555" w14:textId="77777777" w:rsidR="009A130D" w:rsidRPr="00E94752" w:rsidRDefault="009A130D" w:rsidP="00990D65">
            <w:pPr>
              <w:rPr>
                <w:b/>
                <w:color w:val="214A7B"/>
                <w:sz w:val="22"/>
                <w:lang w:val="en-GB"/>
              </w:rPr>
            </w:pPr>
            <w:r w:rsidRPr="00E94752">
              <w:rPr>
                <w:b/>
                <w:color w:val="214A7B"/>
                <w:sz w:val="22"/>
                <w:lang w:val="en-GB"/>
              </w:rPr>
              <w:t>Counterparts</w:t>
            </w:r>
          </w:p>
        </w:tc>
        <w:tc>
          <w:tcPr>
            <w:tcW w:w="5000" w:type="dxa"/>
          </w:tcPr>
          <w:p w14:paraId="1CDCE3B5" w14:textId="77777777" w:rsidR="009A130D" w:rsidRPr="00E94752" w:rsidRDefault="009A130D" w:rsidP="00990D65">
            <w:pPr>
              <w:rPr>
                <w:b/>
                <w:color w:val="214A7B"/>
                <w:sz w:val="22"/>
                <w:lang w:val="en-GB"/>
              </w:rPr>
            </w:pPr>
            <w:r w:rsidRPr="00E94752">
              <w:rPr>
                <w:b/>
                <w:color w:val="214A7B"/>
                <w:sz w:val="22"/>
                <w:lang w:val="en-GB"/>
              </w:rPr>
              <w:t>European Chamber</w:t>
            </w:r>
          </w:p>
        </w:tc>
      </w:tr>
      <w:tr w:rsidR="004C4F84" w:rsidRPr="00E94752" w14:paraId="610DD83F" w14:textId="77777777" w:rsidTr="00990D65">
        <w:tc>
          <w:tcPr>
            <w:tcW w:w="5000" w:type="dxa"/>
            <w:tcBorders>
              <w:bottom w:val="single" w:sz="10" w:space="0" w:color="000000"/>
            </w:tcBorders>
          </w:tcPr>
          <w:p w14:paraId="4F69D785" w14:textId="231C859D" w:rsidR="00B73CC4" w:rsidRDefault="00B73CC4" w:rsidP="00990D65">
            <w:pPr>
              <w:spacing w:before="20"/>
              <w:jc w:val="left"/>
              <w:rPr>
                <w:i/>
                <w:iCs/>
                <w:sz w:val="22"/>
                <w:lang w:val="en-GB"/>
              </w:rPr>
            </w:pPr>
            <w:r>
              <w:rPr>
                <w:b/>
                <w:i/>
                <w:iCs/>
                <w:sz w:val="22"/>
                <w:lang w:val="en-GB"/>
              </w:rPr>
              <w:t xml:space="preserve">Isabella Lindner, </w:t>
            </w:r>
            <w:r w:rsidRPr="00B73CC4">
              <w:rPr>
                <w:i/>
                <w:iCs/>
                <w:sz w:val="22"/>
                <w:lang w:val="en-GB"/>
              </w:rPr>
              <w:t>Chief Representative Austrian National Bank at the Permanent Representation of Austria to the EU</w:t>
            </w:r>
          </w:p>
          <w:p w14:paraId="183EAD15" w14:textId="4ED7CDA7" w:rsidR="00B73CC4" w:rsidRPr="00B73CC4" w:rsidRDefault="00B73CC4" w:rsidP="00990D65">
            <w:pPr>
              <w:spacing w:before="20"/>
              <w:jc w:val="left"/>
              <w:rPr>
                <w:i/>
                <w:iCs/>
                <w:sz w:val="22"/>
                <w:lang w:val="en-GB"/>
              </w:rPr>
            </w:pPr>
            <w:r w:rsidRPr="00B73CC4">
              <w:rPr>
                <w:b/>
                <w:i/>
                <w:iCs/>
                <w:sz w:val="22"/>
                <w:lang w:val="en-GB"/>
              </w:rPr>
              <w:t xml:space="preserve">Regina </w:t>
            </w:r>
            <w:proofErr w:type="spellStart"/>
            <w:r w:rsidRPr="00B73CC4">
              <w:rPr>
                <w:b/>
                <w:i/>
                <w:iCs/>
                <w:sz w:val="22"/>
                <w:lang w:val="en-GB"/>
              </w:rPr>
              <w:t>Figl</w:t>
            </w:r>
            <w:proofErr w:type="spellEnd"/>
            <w:r w:rsidRPr="00B73CC4">
              <w:rPr>
                <w:b/>
                <w:i/>
                <w:iCs/>
                <w:sz w:val="22"/>
                <w:lang w:val="en-GB"/>
              </w:rPr>
              <w:t>,</w:t>
            </w:r>
            <w:r>
              <w:rPr>
                <w:i/>
                <w:iCs/>
                <w:sz w:val="22"/>
                <w:lang w:val="en-GB"/>
              </w:rPr>
              <w:t xml:space="preserve"> Deputy Head of Mission, Embassy of Austria to China</w:t>
            </w:r>
          </w:p>
          <w:p w14:paraId="3B9CDA67" w14:textId="77777777" w:rsidR="00B73CC4" w:rsidRDefault="00B73CC4" w:rsidP="00990D65">
            <w:pPr>
              <w:spacing w:before="20"/>
              <w:jc w:val="left"/>
              <w:rPr>
                <w:b/>
                <w:i/>
                <w:iCs/>
                <w:sz w:val="22"/>
                <w:lang w:val="en-GB"/>
              </w:rPr>
            </w:pPr>
          </w:p>
          <w:p w14:paraId="6494EF74" w14:textId="77777777" w:rsidR="00B73CC4" w:rsidRDefault="00B73CC4" w:rsidP="00990D65">
            <w:pPr>
              <w:spacing w:before="20"/>
              <w:jc w:val="left"/>
              <w:rPr>
                <w:b/>
                <w:i/>
                <w:iCs/>
                <w:sz w:val="22"/>
                <w:lang w:val="en-GB"/>
              </w:rPr>
            </w:pPr>
          </w:p>
          <w:p w14:paraId="337480C6" w14:textId="77777777" w:rsidR="00B73CC4" w:rsidRDefault="00B73CC4" w:rsidP="00990D65">
            <w:pPr>
              <w:spacing w:before="20"/>
              <w:jc w:val="left"/>
              <w:rPr>
                <w:b/>
                <w:i/>
                <w:iCs/>
                <w:sz w:val="22"/>
                <w:lang w:val="en-GB"/>
              </w:rPr>
            </w:pPr>
          </w:p>
          <w:p w14:paraId="00C6F2DA" w14:textId="47F9601A" w:rsidR="004C4F84" w:rsidRPr="004C4F84" w:rsidRDefault="004C4F84" w:rsidP="004C4F84">
            <w:pPr>
              <w:spacing w:before="20"/>
              <w:jc w:val="left"/>
              <w:rPr>
                <w:lang w:val="es-ES"/>
              </w:rPr>
            </w:pPr>
          </w:p>
        </w:tc>
        <w:tc>
          <w:tcPr>
            <w:tcW w:w="5000" w:type="dxa"/>
            <w:tcBorders>
              <w:bottom w:val="single" w:sz="10" w:space="0" w:color="000000"/>
            </w:tcBorders>
          </w:tcPr>
          <w:p w14:paraId="0DB9A9F8" w14:textId="2A60C245" w:rsidR="000A7648" w:rsidRDefault="00B73CC4" w:rsidP="000A7648">
            <w:pPr>
              <w:spacing w:before="20"/>
              <w:jc w:val="left"/>
              <w:rPr>
                <w:b/>
                <w:i/>
                <w:iCs/>
                <w:sz w:val="22"/>
                <w:lang w:val="en-GB"/>
              </w:rPr>
            </w:pPr>
            <w:r>
              <w:rPr>
                <w:b/>
                <w:i/>
                <w:iCs/>
                <w:sz w:val="22"/>
                <w:lang w:val="en-GB"/>
              </w:rPr>
              <w:t>Peter Ling-</w:t>
            </w:r>
            <w:proofErr w:type="spellStart"/>
            <w:r>
              <w:rPr>
                <w:b/>
                <w:i/>
                <w:iCs/>
                <w:sz w:val="22"/>
                <w:lang w:val="en-GB"/>
              </w:rPr>
              <w:t>Vannerus</w:t>
            </w:r>
            <w:proofErr w:type="spellEnd"/>
            <w:r>
              <w:rPr>
                <w:b/>
                <w:i/>
                <w:iCs/>
                <w:sz w:val="22"/>
                <w:lang w:val="en-GB"/>
              </w:rPr>
              <w:t xml:space="preserve">, </w:t>
            </w:r>
            <w:r w:rsidRPr="00B73CC4">
              <w:rPr>
                <w:i/>
                <w:iCs/>
                <w:sz w:val="22"/>
                <w:lang w:val="en-GB"/>
              </w:rPr>
              <w:t>National Chair Banking &amp; Securities Working Group</w:t>
            </w:r>
          </w:p>
          <w:p w14:paraId="5D099E3E" w14:textId="5B4F7E06" w:rsidR="00B73CC4" w:rsidRPr="000A7648" w:rsidRDefault="00B73CC4" w:rsidP="000A7648">
            <w:pPr>
              <w:spacing w:before="20"/>
              <w:jc w:val="left"/>
              <w:rPr>
                <w:b/>
                <w:i/>
                <w:iCs/>
                <w:sz w:val="22"/>
                <w:lang w:val="en-GB"/>
              </w:rPr>
            </w:pPr>
            <w:r>
              <w:rPr>
                <w:b/>
                <w:i/>
                <w:iCs/>
                <w:sz w:val="22"/>
                <w:lang w:val="en-GB"/>
              </w:rPr>
              <w:t xml:space="preserve">Joakim Hedhill, </w:t>
            </w:r>
            <w:r w:rsidRPr="00B73CC4">
              <w:rPr>
                <w:i/>
                <w:iCs/>
                <w:sz w:val="22"/>
                <w:lang w:val="en-GB"/>
              </w:rPr>
              <w:t>National Vice</w:t>
            </w:r>
            <w:r>
              <w:rPr>
                <w:i/>
                <w:iCs/>
                <w:sz w:val="22"/>
                <w:lang w:val="en-GB"/>
              </w:rPr>
              <w:t xml:space="preserve"> </w:t>
            </w:r>
            <w:r w:rsidRPr="00B73CC4">
              <w:rPr>
                <w:i/>
                <w:iCs/>
                <w:sz w:val="22"/>
                <w:lang w:val="en-GB"/>
              </w:rPr>
              <w:t>Chair Banking &amp; Securities Working Group</w:t>
            </w:r>
          </w:p>
          <w:p w14:paraId="0DF73DE3" w14:textId="03907A29" w:rsidR="009A130D" w:rsidRPr="009A130D" w:rsidRDefault="009A130D" w:rsidP="000A7648">
            <w:pPr>
              <w:spacing w:before="20"/>
              <w:jc w:val="left"/>
            </w:pPr>
            <w:r w:rsidRPr="000A7648">
              <w:rPr>
                <w:b/>
                <w:i/>
                <w:iCs/>
                <w:sz w:val="22"/>
                <w:lang w:val="en-GB"/>
              </w:rPr>
              <w:t xml:space="preserve">Xavier Sans Powell, </w:t>
            </w:r>
            <w:r w:rsidRPr="000A7648">
              <w:rPr>
                <w:i/>
                <w:iCs/>
                <w:sz w:val="22"/>
                <w:lang w:val="en-GB"/>
              </w:rPr>
              <w:t>Director of Government Affairs (European Affairs) and EU SME Centre’s Senior Policy &amp; Advocacy Manager</w:t>
            </w:r>
          </w:p>
        </w:tc>
      </w:tr>
    </w:tbl>
    <w:p w14:paraId="6B2DDE39" w14:textId="77777777" w:rsidR="009A130D" w:rsidRPr="00E94752" w:rsidRDefault="009A130D" w:rsidP="009A130D">
      <w:pPr>
        <w:spacing w:before="20"/>
        <w:jc w:val="left"/>
        <w:rPr>
          <w:lang w:val="en-GB"/>
        </w:rPr>
      </w:pPr>
      <w:r w:rsidRPr="00E94752">
        <w:rPr>
          <w:b/>
          <w:sz w:val="22"/>
          <w:lang w:val="en-GB"/>
        </w:rPr>
        <w:t>Summary</w:t>
      </w:r>
    </w:p>
    <w:p w14:paraId="0C461CBF" w14:textId="6FCB0EF4" w:rsidR="004B0C74" w:rsidRDefault="00B73CC4" w:rsidP="004B0C74">
      <w:pPr>
        <w:spacing w:before="20"/>
        <w:jc w:val="left"/>
        <w:rPr>
          <w:sz w:val="22"/>
          <w:lang w:val="en-GB"/>
        </w:rPr>
      </w:pPr>
      <w:r>
        <w:rPr>
          <w:sz w:val="22"/>
          <w:lang w:val="en-GB"/>
        </w:rPr>
        <w:t xml:space="preserve">The National Chair and Vice Chair of the Banking &amp; Securities Working Group, </w:t>
      </w:r>
      <w:r>
        <w:rPr>
          <w:sz w:val="22"/>
          <w:lang w:val="en-GB"/>
        </w:rPr>
        <w:t>Mr Peter Ling-</w:t>
      </w:r>
      <w:proofErr w:type="spellStart"/>
      <w:r>
        <w:rPr>
          <w:sz w:val="22"/>
          <w:lang w:val="en-GB"/>
        </w:rPr>
        <w:t>Vannerus</w:t>
      </w:r>
      <w:proofErr w:type="spellEnd"/>
      <w:r>
        <w:rPr>
          <w:sz w:val="22"/>
          <w:lang w:val="en-GB"/>
        </w:rPr>
        <w:t xml:space="preserve">, </w:t>
      </w:r>
      <w:r>
        <w:rPr>
          <w:sz w:val="22"/>
          <w:lang w:val="en-GB"/>
        </w:rPr>
        <w:t xml:space="preserve">and Mr Joakim Hedhill met with Ms Isabella Lindner, Chief Representative of the </w:t>
      </w:r>
      <w:proofErr w:type="spellStart"/>
      <w:r>
        <w:rPr>
          <w:sz w:val="22"/>
          <w:lang w:val="en-GB"/>
        </w:rPr>
        <w:t>Oesterreichische</w:t>
      </w:r>
      <w:proofErr w:type="spellEnd"/>
      <w:r>
        <w:rPr>
          <w:sz w:val="22"/>
          <w:lang w:val="en-GB"/>
        </w:rPr>
        <w:t xml:space="preserve"> </w:t>
      </w:r>
      <w:proofErr w:type="spellStart"/>
      <w:r>
        <w:rPr>
          <w:sz w:val="22"/>
          <w:lang w:val="en-GB"/>
        </w:rPr>
        <w:t>Nationalbank</w:t>
      </w:r>
      <w:proofErr w:type="spellEnd"/>
      <w:r>
        <w:rPr>
          <w:sz w:val="22"/>
          <w:lang w:val="en-GB"/>
        </w:rPr>
        <w:t xml:space="preserve"> at the Permanent Representation of Austria to the EU. Both parties discussed the reforms China is undergoing with special focus on the financial services sector.  During the meeting, the chairs made reference to the recent announcement by PBOC Governor Yi Gang and the expectations that foreign financial services have </w:t>
      </w:r>
      <w:r w:rsidR="00E95107">
        <w:rPr>
          <w:sz w:val="22"/>
          <w:lang w:val="en-GB"/>
        </w:rPr>
        <w:t xml:space="preserve">regarding the opening-up process. </w:t>
      </w:r>
      <w:r w:rsidR="00B253B8">
        <w:rPr>
          <w:noProof/>
        </w:rPr>
        <w:lastRenderedPageBreak/>
        <w:drawing>
          <wp:inline distT="0" distB="0" distL="0" distR="0" wp14:anchorId="3E28B1B1" wp14:editId="7D4B6527">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bookmarkStart w:id="1" w:name="_GoBack"/>
      <w:bookmarkEnd w:id="1"/>
      <w:r w:rsidR="00B253B8">
        <w:rPr>
          <w:noProof/>
        </w:rPr>
        <w:lastRenderedPageBreak/>
        <w:drawing>
          <wp:inline distT="0" distB="0" distL="0" distR="0" wp14:anchorId="3E5FDE5C" wp14:editId="716F7FB2">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B253B8">
        <w:rPr>
          <w:noProof/>
          <w:sz w:val="22"/>
          <w:lang w:val="en-GB"/>
        </w:rPr>
        <w:lastRenderedPageBreak/>
        <w:drawing>
          <wp:inline distT="0" distB="0" distL="0" distR="0" wp14:anchorId="0AC7D717" wp14:editId="1EE4DAB0">
            <wp:extent cx="5937250" cy="44577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7250" cy="4457700"/>
                    </a:xfrm>
                    <a:prstGeom prst="rect">
                      <a:avLst/>
                    </a:prstGeom>
                    <a:noFill/>
                    <a:ln>
                      <a:noFill/>
                    </a:ln>
                  </pic:spPr>
                </pic:pic>
              </a:graphicData>
            </a:graphic>
          </wp:inline>
        </w:drawing>
      </w:r>
    </w:p>
    <w:bookmarkEnd w:id="0"/>
    <w:p w14:paraId="09F8E7E4" w14:textId="6AF1CBCE" w:rsidR="00A20475" w:rsidRPr="004B0C74" w:rsidRDefault="00A20475" w:rsidP="004F2F08">
      <w:pPr>
        <w:pStyle w:val="rtejustify"/>
        <w:rPr>
          <w:sz w:val="22"/>
        </w:rPr>
      </w:pPr>
    </w:p>
    <w:sectPr w:rsidR="00A20475" w:rsidRPr="004B0C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Vrinda">
    <w:altName w:val="Vrinda"/>
    <w:panose1 w:val="00000400000000000000"/>
    <w:charset w:val="00"/>
    <w:family w:val="swiss"/>
    <w:pitch w:val="variable"/>
    <w:sig w:usb0="0001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A90145"/>
    <w:multiLevelType w:val="hybridMultilevel"/>
    <w:tmpl w:val="A740D9A0"/>
    <w:lvl w:ilvl="0" w:tplc="E9FE6738">
      <w:start w:val="12"/>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30D"/>
    <w:rsid w:val="000A7648"/>
    <w:rsid w:val="00173030"/>
    <w:rsid w:val="00321DD6"/>
    <w:rsid w:val="004B0C74"/>
    <w:rsid w:val="004C4F84"/>
    <w:rsid w:val="004F2F08"/>
    <w:rsid w:val="007E735E"/>
    <w:rsid w:val="00826324"/>
    <w:rsid w:val="009A130D"/>
    <w:rsid w:val="00A20475"/>
    <w:rsid w:val="00B253B8"/>
    <w:rsid w:val="00B73CC4"/>
    <w:rsid w:val="00E95107"/>
    <w:rsid w:val="00F356CE"/>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448DD"/>
  <w15:chartTrackingRefBased/>
  <w15:docId w15:val="{BA920141-D83B-46D9-86EA-2D40D81A9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130D"/>
    <w:pPr>
      <w:widowControl w:val="0"/>
      <w:spacing w:after="0" w:line="240" w:lineRule="auto"/>
      <w:jc w:val="both"/>
    </w:pPr>
    <w:rPr>
      <w:kern w:val="2"/>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会议名称"/>
    <w:basedOn w:val="Normal"/>
    <w:link w:val="Char"/>
    <w:qFormat/>
    <w:rsid w:val="009A130D"/>
    <w:pPr>
      <w:spacing w:before="300" w:after="300"/>
      <w:jc w:val="center"/>
    </w:pPr>
    <w:rPr>
      <w:b/>
      <w:color w:val="214A7B"/>
      <w:sz w:val="28"/>
      <w:szCs w:val="28"/>
    </w:rPr>
  </w:style>
  <w:style w:type="character" w:customStyle="1" w:styleId="Char">
    <w:name w:val="会议名称 Char"/>
    <w:basedOn w:val="DefaultParagraphFont"/>
    <w:link w:val="a"/>
    <w:rsid w:val="009A130D"/>
    <w:rPr>
      <w:b/>
      <w:color w:val="214A7B"/>
      <w:kern w:val="2"/>
      <w:sz w:val="28"/>
      <w:szCs w:val="28"/>
    </w:rPr>
  </w:style>
  <w:style w:type="paragraph" w:styleId="NoSpacing">
    <w:name w:val="No Spacing"/>
    <w:basedOn w:val="Normal"/>
    <w:uiPriority w:val="1"/>
    <w:qFormat/>
    <w:rsid w:val="004F2F08"/>
    <w:pPr>
      <w:widowControl/>
      <w:jc w:val="left"/>
    </w:pPr>
    <w:rPr>
      <w:rFonts w:ascii="Calibri" w:eastAsia="宋体" w:hAnsi="Calibri" w:cs="宋体"/>
      <w:kern w:val="0"/>
      <w:sz w:val="22"/>
      <w:lang w:val="en-GB" w:bidi="bn-BD"/>
    </w:rPr>
  </w:style>
  <w:style w:type="paragraph" w:customStyle="1" w:styleId="rtejustify">
    <w:name w:val="rtejustify"/>
    <w:basedOn w:val="Normal"/>
    <w:rsid w:val="004F2F08"/>
    <w:pPr>
      <w:widowControl/>
      <w:spacing w:before="100" w:beforeAutospacing="1" w:after="100" w:afterAutospacing="1"/>
      <w:jc w:val="left"/>
    </w:pPr>
    <w:rPr>
      <w:rFonts w:ascii="Times New Roman" w:eastAsia="Times New Roman" w:hAnsi="Times New Roman" w:cs="Times New Roman"/>
      <w:kern w:val="0"/>
      <w:sz w:val="24"/>
      <w:szCs w:val="24"/>
      <w:lang w:val="en-GB" w:bidi="bn-BD"/>
    </w:rPr>
  </w:style>
  <w:style w:type="character" w:styleId="CommentReference">
    <w:name w:val="annotation reference"/>
    <w:basedOn w:val="DefaultParagraphFont"/>
    <w:uiPriority w:val="99"/>
    <w:semiHidden/>
    <w:unhideWhenUsed/>
    <w:rsid w:val="00B73CC4"/>
    <w:rPr>
      <w:sz w:val="16"/>
      <w:szCs w:val="16"/>
    </w:rPr>
  </w:style>
  <w:style w:type="paragraph" w:styleId="CommentText">
    <w:name w:val="annotation text"/>
    <w:basedOn w:val="Normal"/>
    <w:link w:val="CommentTextChar"/>
    <w:uiPriority w:val="99"/>
    <w:semiHidden/>
    <w:unhideWhenUsed/>
    <w:rsid w:val="00B73CC4"/>
    <w:rPr>
      <w:sz w:val="20"/>
      <w:szCs w:val="20"/>
    </w:rPr>
  </w:style>
  <w:style w:type="character" w:customStyle="1" w:styleId="CommentTextChar">
    <w:name w:val="Comment Text Char"/>
    <w:basedOn w:val="DefaultParagraphFont"/>
    <w:link w:val="CommentText"/>
    <w:uiPriority w:val="99"/>
    <w:semiHidden/>
    <w:rsid w:val="00B73CC4"/>
    <w:rPr>
      <w:kern w:val="2"/>
      <w:sz w:val="20"/>
      <w:szCs w:val="20"/>
    </w:rPr>
  </w:style>
  <w:style w:type="paragraph" w:styleId="CommentSubject">
    <w:name w:val="annotation subject"/>
    <w:basedOn w:val="CommentText"/>
    <w:next w:val="CommentText"/>
    <w:link w:val="CommentSubjectChar"/>
    <w:uiPriority w:val="99"/>
    <w:semiHidden/>
    <w:unhideWhenUsed/>
    <w:rsid w:val="00B73CC4"/>
    <w:rPr>
      <w:b/>
      <w:bCs/>
    </w:rPr>
  </w:style>
  <w:style w:type="character" w:customStyle="1" w:styleId="CommentSubjectChar">
    <w:name w:val="Comment Subject Char"/>
    <w:basedOn w:val="CommentTextChar"/>
    <w:link w:val="CommentSubject"/>
    <w:uiPriority w:val="99"/>
    <w:semiHidden/>
    <w:rsid w:val="00B73CC4"/>
    <w:rPr>
      <w:b/>
      <w:bCs/>
      <w:kern w:val="2"/>
      <w:sz w:val="20"/>
      <w:szCs w:val="20"/>
    </w:rPr>
  </w:style>
  <w:style w:type="paragraph" w:styleId="BalloonText">
    <w:name w:val="Balloon Text"/>
    <w:basedOn w:val="Normal"/>
    <w:link w:val="BalloonTextChar"/>
    <w:uiPriority w:val="99"/>
    <w:semiHidden/>
    <w:unhideWhenUsed/>
    <w:rsid w:val="00B73C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3CC4"/>
    <w:rPr>
      <w:rFonts w:ascii="Segoe UI" w:hAnsi="Segoe UI" w:cs="Segoe U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355364">
      <w:bodyDiv w:val="1"/>
      <w:marLeft w:val="0"/>
      <w:marRight w:val="0"/>
      <w:marTop w:val="0"/>
      <w:marBottom w:val="0"/>
      <w:divBdr>
        <w:top w:val="none" w:sz="0" w:space="0" w:color="auto"/>
        <w:left w:val="none" w:sz="0" w:space="0" w:color="auto"/>
        <w:bottom w:val="none" w:sz="0" w:space="0" w:color="auto"/>
        <w:right w:val="none" w:sz="0" w:space="0" w:color="auto"/>
      </w:divBdr>
    </w:div>
    <w:div w:id="1221554861">
      <w:bodyDiv w:val="1"/>
      <w:marLeft w:val="0"/>
      <w:marRight w:val="0"/>
      <w:marTop w:val="0"/>
      <w:marBottom w:val="0"/>
      <w:divBdr>
        <w:top w:val="none" w:sz="0" w:space="0" w:color="auto"/>
        <w:left w:val="none" w:sz="0" w:space="0" w:color="auto"/>
        <w:bottom w:val="none" w:sz="0" w:space="0" w:color="auto"/>
        <w:right w:val="none" w:sz="0" w:space="0" w:color="auto"/>
      </w:divBdr>
      <w:divsChild>
        <w:div w:id="19167953">
          <w:marLeft w:val="0"/>
          <w:marRight w:val="0"/>
          <w:marTop w:val="0"/>
          <w:marBottom w:val="0"/>
          <w:divBdr>
            <w:top w:val="none" w:sz="0" w:space="0" w:color="auto"/>
            <w:left w:val="none" w:sz="0" w:space="0" w:color="auto"/>
            <w:bottom w:val="none" w:sz="0" w:space="0" w:color="auto"/>
            <w:right w:val="none" w:sz="0" w:space="0" w:color="auto"/>
          </w:divBdr>
          <w:divsChild>
            <w:div w:id="969944317">
              <w:marLeft w:val="0"/>
              <w:marRight w:val="0"/>
              <w:marTop w:val="0"/>
              <w:marBottom w:val="0"/>
              <w:divBdr>
                <w:top w:val="none" w:sz="0" w:space="0" w:color="auto"/>
                <w:left w:val="none" w:sz="0" w:space="0" w:color="auto"/>
                <w:bottom w:val="none" w:sz="0" w:space="0" w:color="auto"/>
                <w:right w:val="none" w:sz="0" w:space="0" w:color="auto"/>
              </w:divBdr>
              <w:divsChild>
                <w:div w:id="1296526912">
                  <w:marLeft w:val="0"/>
                  <w:marRight w:val="0"/>
                  <w:marTop w:val="0"/>
                  <w:marBottom w:val="0"/>
                  <w:divBdr>
                    <w:top w:val="none" w:sz="0" w:space="0" w:color="auto"/>
                    <w:left w:val="none" w:sz="0" w:space="0" w:color="auto"/>
                    <w:bottom w:val="none" w:sz="0" w:space="0" w:color="auto"/>
                    <w:right w:val="none" w:sz="0" w:space="0" w:color="auto"/>
                  </w:divBdr>
                  <w:divsChild>
                    <w:div w:id="1882009575">
                      <w:marLeft w:val="0"/>
                      <w:marRight w:val="0"/>
                      <w:marTop w:val="0"/>
                      <w:marBottom w:val="0"/>
                      <w:divBdr>
                        <w:top w:val="none" w:sz="0" w:space="0" w:color="auto"/>
                        <w:left w:val="none" w:sz="0" w:space="0" w:color="auto"/>
                        <w:bottom w:val="none" w:sz="0" w:space="0" w:color="auto"/>
                        <w:right w:val="none" w:sz="0" w:space="0" w:color="auto"/>
                      </w:divBdr>
                      <w:divsChild>
                        <w:div w:id="1249851956">
                          <w:marLeft w:val="0"/>
                          <w:marRight w:val="0"/>
                          <w:marTop w:val="0"/>
                          <w:marBottom w:val="0"/>
                          <w:divBdr>
                            <w:top w:val="none" w:sz="0" w:space="0" w:color="auto"/>
                            <w:left w:val="none" w:sz="0" w:space="0" w:color="auto"/>
                            <w:bottom w:val="none" w:sz="0" w:space="0" w:color="auto"/>
                            <w:right w:val="none" w:sz="0" w:space="0" w:color="auto"/>
                          </w:divBdr>
                          <w:divsChild>
                            <w:div w:id="100855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188477">
      <w:bodyDiv w:val="1"/>
      <w:marLeft w:val="0"/>
      <w:marRight w:val="0"/>
      <w:marTop w:val="0"/>
      <w:marBottom w:val="0"/>
      <w:divBdr>
        <w:top w:val="none" w:sz="0" w:space="0" w:color="auto"/>
        <w:left w:val="none" w:sz="0" w:space="0" w:color="auto"/>
        <w:bottom w:val="none" w:sz="0" w:space="0" w:color="auto"/>
        <w:right w:val="none" w:sz="0" w:space="0" w:color="auto"/>
      </w:divBdr>
    </w:div>
    <w:div w:id="1998998242">
      <w:bodyDiv w:val="1"/>
      <w:marLeft w:val="0"/>
      <w:marRight w:val="0"/>
      <w:marTop w:val="0"/>
      <w:marBottom w:val="0"/>
      <w:divBdr>
        <w:top w:val="none" w:sz="0" w:space="0" w:color="auto"/>
        <w:left w:val="none" w:sz="0" w:space="0" w:color="auto"/>
        <w:bottom w:val="none" w:sz="0" w:space="0" w:color="auto"/>
        <w:right w:val="none" w:sz="0" w:space="0" w:color="auto"/>
      </w:divBdr>
    </w:div>
    <w:div w:id="201949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185</Words>
  <Characters>1061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Yefang Wang</dc:creator>
  <cp:keywords/>
  <dc:description/>
  <cp:lastModifiedBy>Xavier SansPowell</cp:lastModifiedBy>
  <cp:revision>5</cp:revision>
  <dcterms:created xsi:type="dcterms:W3CDTF">2018-05-09T02:44:00Z</dcterms:created>
  <dcterms:modified xsi:type="dcterms:W3CDTF">2018-05-11T10:03:00Z</dcterms:modified>
</cp:coreProperties>
</file>